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color w:val="000000"/>
          <w:sz w:val="24"/>
          <w:shd w:val="clear" w:color="auto" w:fill="FFFFFF"/>
        </w:rPr>
        <w:t>附件</w:t>
      </w:r>
      <w:r>
        <w:rPr>
          <w:rFonts w:hint="default" w:ascii="Times New Roman" w:hAnsi="Times New Roman" w:cs="Times New Roman"/>
          <w:color w:val="000000"/>
          <w:sz w:val="24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cs="Times New Roman"/>
          <w:color w:val="000000"/>
          <w:sz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/>
          <w:sz w:val="36"/>
          <w:szCs w:val="36"/>
          <w:lang w:eastAsia="zh-CN"/>
        </w:rPr>
      </w:pPr>
      <w:r>
        <w:rPr>
          <w:rFonts w:hint="eastAsia" w:eastAsia="方正小标宋简体" w:cs="Times New Roman"/>
          <w:b/>
          <w:sz w:val="36"/>
          <w:szCs w:val="36"/>
          <w:lang w:eastAsia="zh-CN"/>
        </w:rPr>
        <w:t>四川电子机械职业技术学院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20</w:t>
      </w:r>
      <w:r>
        <w:rPr>
          <w:rFonts w:hint="eastAsia" w:eastAsia="方正小标宋简体" w:cs="Times New Roman"/>
          <w:b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届毕业生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  <w:lang w:eastAsia="zh-CN"/>
        </w:rPr>
        <w:t>专业分布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</w:p>
    <w:tbl>
      <w:tblPr>
        <w:tblW w:w="920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9"/>
        <w:gridCol w:w="2790"/>
        <w:gridCol w:w="1415"/>
        <w:gridCol w:w="1415"/>
        <w:gridCol w:w="14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男（人）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女（人）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总计（人）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电子信息工程系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移动互联应用技术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应用电子技术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机电工程系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经济管理系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金融管理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建筑与艺术系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房地产经营与管理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建设工程管理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建筑动画与模型制作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室内艺术设计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3954</w:t>
            </w:r>
          </w:p>
        </w:tc>
      </w:tr>
    </w:tbl>
    <w:p/>
    <w:sectPr>
      <w:pgSz w:w="11906" w:h="16838"/>
      <w:pgMar w:top="1984" w:right="113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3280A"/>
    <w:rsid w:val="047253E7"/>
    <w:rsid w:val="070F5A67"/>
    <w:rsid w:val="1DBB673C"/>
    <w:rsid w:val="3733280A"/>
    <w:rsid w:val="61F05626"/>
    <w:rsid w:val="64391A2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2018-11-07T01:28:00Z</dcterms:created>
  <dc:creator>枫树下の回忆</dc:creator>
  <cp:lastModifiedBy>张韬</cp:lastModifiedBy>
  <dcterms:modified xsi:type="dcterms:W3CDTF">2020-12-30T10:53:42Z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